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Земского собрания Новосадовского сельского поселения муниципального района «Белгородский район» Белгородской области от 29.10.2024 года № 62 «О рассмотрении инициативы о преобразовании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>
        <w:rPr>
          <w:rFonts w:ascii="Times New Roman" w:eastAsia="Calibri" w:hAnsi="Times New Roman" w:cs="Times New Roman"/>
          <w:sz w:val="26"/>
          <w:szCs w:val="26"/>
        </w:rPr>
        <w:t>обсуждение инициативы</w:t>
      </w:r>
      <w:r>
        <w:rPr>
          <w:rFonts w:ascii="Times New Roman" w:hAnsi="Times New Roman" w:cs="Times New Roman"/>
          <w:sz w:val="26"/>
          <w:szCs w:val="26"/>
        </w:rPr>
        <w:t xml:space="preserve">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Земское собрание Новосадовского сельского поселения муниципального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>
        <w:rPr>
          <w:rFonts w:ascii="Times New Roman" w:hAnsi="Times New Roman" w:cs="Times New Roman"/>
          <w:sz w:val="26"/>
          <w:szCs w:val="26"/>
        </w:rPr>
        <w:t>17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«19» ноября 2024 года № 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auto"/>
              <w:contextualSpacing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>19.11.2024</w:t>
            </w:r>
          </w:p>
          <w:p>
            <w:pPr>
              <w:spacing w:line="240" w:lineRule="auto"/>
              <w:contextualSpacing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mes New Roman" w:hAnsi="Tinos" w:cs="Tinos"/>
                <w:color w:val="212121"/>
                <w:sz w:val="26"/>
                <w:szCs w:val="26"/>
                <w:lang w:eastAsia="ru-RU"/>
              </w:rPr>
              <w:t xml:space="preserve">Поддержать инициативу Муниципального совета Белгородского района </w:t>
            </w:r>
            <w:r>
              <w:rPr>
                <w:rFonts w:ascii="Tinos" w:eastAsia="Times New Roman" w:hAnsi="Tinos" w:cs="Tinos"/>
                <w:sz w:val="26"/>
                <w:szCs w:val="26"/>
                <w:lang w:eastAsia="ru-RU"/>
              </w:rPr>
              <w:t xml:space="preserve">о преобразовании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всех поселений, входящих в состав Белгородского района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>Кольцова Светлана Ивановна,</w:t>
            </w:r>
          </w:p>
          <w:p>
            <w:proofErr w:type="spellStart"/>
            <w:r>
              <w:rPr>
                <w:rFonts w:ascii="Tinos" w:hAnsi="Tinos" w:cs="Tinos"/>
                <w:sz w:val="26"/>
                <w:szCs w:val="26"/>
              </w:rPr>
              <w:t>Микаилов</w:t>
            </w:r>
            <w:proofErr w:type="spellEnd"/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nos" w:hAnsi="Tinos" w:cs="Tinos"/>
                <w:sz w:val="26"/>
                <w:szCs w:val="26"/>
              </w:rPr>
              <w:t>Тахир</w:t>
            </w:r>
            <w:proofErr w:type="spellEnd"/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nos" w:hAnsi="Tinos" w:cs="Tinos"/>
                <w:sz w:val="26"/>
                <w:szCs w:val="26"/>
              </w:rPr>
              <w:t>Нуранмед</w:t>
            </w:r>
            <w:proofErr w:type="spellEnd"/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nos" w:hAnsi="Tinos" w:cs="Tinos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>Принять к сведению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Белгородского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Веселолопанского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Дубовского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поседения,  Майского сельского поселения, Малиновского сельского поселения,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поселения, Новосадовского сельского поселения,  Пушкарского сельского поселения, Стрелецкого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Яснозоренского сельского поселения,  городского поселения «Поселок Октябрьский»,</w:t>
      </w:r>
      <w:r>
        <w:t xml:space="preserve"> 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Разумное», городского поселения «Поселок Северный»,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>
        <w:rPr>
          <w:rFonts w:ascii="Times New Roman" w:hAnsi="Times New Roman" w:cs="Times New Roman"/>
          <w:sz w:val="26"/>
          <w:szCs w:val="26"/>
        </w:rPr>
        <w:t>Новосадовского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hAnsi="Times New Roman" w:cs="Times New Roman"/>
          <w:sz w:val="26"/>
          <w:szCs w:val="26"/>
        </w:rPr>
        <w:t>Новосадовского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>
        <w:rPr>
          <w:rFonts w:ascii="Calibri" w:eastAsia="Arial" w:hAnsi="Calibri" w:cs="Times New Roman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Опубликовать настоящее </w:t>
      </w:r>
      <w:bookmarkStart w:id="1" w:name="_GoBack"/>
      <w:bookmarkEnd w:id="1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nos" w:hAnsi="Tinos" w:cs="Tinos"/>
          <w:sz w:val="28"/>
          <w:szCs w:val="28"/>
        </w:rPr>
        <w:t xml:space="preserve">в сетевом издании «Знамя31.ру» (znamya31.ru)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Новосадовского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https://novosadovskoe-r31.gosweb.gosuslugi.ru/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>Новосадовского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публичных слушаниях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Рябыкин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публичных слушаниях                                                        И.В. Гончарова</w:t>
      </w:r>
    </w:p>
    <w:sectPr>
      <w:headerReference w:type="default" r:id="rId7"/>
      <w:pgSz w:w="11906" w:h="16838"/>
      <w:pgMar w:top="851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609215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6F8F"/>
    <w:multiLevelType w:val="hybridMultilevel"/>
    <w:tmpl w:val="0B9011E2"/>
    <w:lvl w:ilvl="0" w:tplc="8CEA88EA">
      <w:start w:val="1"/>
      <w:numFmt w:val="decimal"/>
      <w:lvlText w:val="%1."/>
      <w:lvlJc w:val="left"/>
    </w:lvl>
    <w:lvl w:ilvl="1" w:tplc="01BCFD78">
      <w:start w:val="1"/>
      <w:numFmt w:val="lowerLetter"/>
      <w:lvlText w:val="%2."/>
      <w:lvlJc w:val="left"/>
      <w:pPr>
        <w:ind w:left="1440" w:hanging="360"/>
      </w:pPr>
    </w:lvl>
    <w:lvl w:ilvl="2" w:tplc="77E86DA0">
      <w:start w:val="1"/>
      <w:numFmt w:val="lowerRoman"/>
      <w:lvlText w:val="%3."/>
      <w:lvlJc w:val="right"/>
      <w:pPr>
        <w:ind w:left="2160" w:hanging="180"/>
      </w:pPr>
    </w:lvl>
    <w:lvl w:ilvl="3" w:tplc="35FA1274">
      <w:start w:val="1"/>
      <w:numFmt w:val="decimal"/>
      <w:lvlText w:val="%4."/>
      <w:lvlJc w:val="left"/>
      <w:pPr>
        <w:ind w:left="2880" w:hanging="360"/>
      </w:pPr>
    </w:lvl>
    <w:lvl w:ilvl="4" w:tplc="3A1E0608">
      <w:start w:val="1"/>
      <w:numFmt w:val="lowerLetter"/>
      <w:lvlText w:val="%5."/>
      <w:lvlJc w:val="left"/>
      <w:pPr>
        <w:ind w:left="3600" w:hanging="360"/>
      </w:pPr>
    </w:lvl>
    <w:lvl w:ilvl="5" w:tplc="CB089084">
      <w:start w:val="1"/>
      <w:numFmt w:val="lowerRoman"/>
      <w:lvlText w:val="%6."/>
      <w:lvlJc w:val="right"/>
      <w:pPr>
        <w:ind w:left="4320" w:hanging="180"/>
      </w:pPr>
    </w:lvl>
    <w:lvl w:ilvl="6" w:tplc="865E375C">
      <w:start w:val="1"/>
      <w:numFmt w:val="decimal"/>
      <w:lvlText w:val="%7."/>
      <w:lvlJc w:val="left"/>
      <w:pPr>
        <w:ind w:left="5040" w:hanging="360"/>
      </w:pPr>
    </w:lvl>
    <w:lvl w:ilvl="7" w:tplc="21F2B96C">
      <w:start w:val="1"/>
      <w:numFmt w:val="lowerLetter"/>
      <w:lvlText w:val="%8."/>
      <w:lvlJc w:val="left"/>
      <w:pPr>
        <w:ind w:left="5760" w:hanging="360"/>
      </w:pPr>
    </w:lvl>
    <w:lvl w:ilvl="8" w:tplc="D39C89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DEA93-0046-4321-B9FC-E2B060B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9</cp:revision>
  <cp:lastPrinted>2024-11-19T12:23:00Z</cp:lastPrinted>
  <dcterms:created xsi:type="dcterms:W3CDTF">2024-11-11T10:54:00Z</dcterms:created>
  <dcterms:modified xsi:type="dcterms:W3CDTF">2024-11-19T12:34:00Z</dcterms:modified>
</cp:coreProperties>
</file>