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9528972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«10» июня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   №30 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акционерного общества «Белгородская ипотечная корпорация», в соответствии со статьей 33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br/>
        <w:t xml:space="preserve">и наделении их статусом городского, сельского поселения, городского округа, муниципального района» (в редакции 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с учетом рекомендаций, содержащихся в заключении комиссии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22.02.2024 № 69-ОД-Н).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28.07.2022 № 551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>
        <w:tc>
          <w:tcPr>
            <w:tcW w:w="5562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>
        <w:tc>
          <w:tcPr>
            <w:tcW w:w="5562" w:type="dxa"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«10» июня 2024 г. №30</w:t>
      </w:r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обращение акционерного общества «Белгородская ипотечная корпорация»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22.02.2024 № 69-ОД-Н),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Дополнить п. 3 «</w:t>
      </w:r>
      <w:r>
        <w:rPr>
          <w:rFonts w:ascii="Times New Roman" w:hAnsi="Times New Roman"/>
          <w:bCs/>
          <w:sz w:val="28"/>
          <w:szCs w:val="28"/>
        </w:rPr>
        <w:t xml:space="preserve">Условно разрешённые виды разрешенного использования земельных участков, предельные размеры земельных участков </w:t>
      </w:r>
      <w:r>
        <w:rPr>
          <w:rFonts w:ascii="Times New Roman" w:hAnsi="Times New Roman"/>
          <w:bCs/>
          <w:sz w:val="28"/>
          <w:szCs w:val="28"/>
        </w:rPr>
        <w:br/>
        <w:t>и предельные параметры разрешенного строительства, реконструкции</w:t>
      </w:r>
      <w:r>
        <w:rPr>
          <w:rFonts w:ascii="Times New Roman" w:hAnsi="Times New Roman"/>
          <w:sz w:val="28"/>
          <w:szCs w:val="28"/>
        </w:rPr>
        <w:t>» статьи 39 «</w:t>
      </w:r>
      <w:r>
        <w:rPr>
          <w:rFonts w:ascii="Times New Roman" w:hAnsi="Times New Roman"/>
          <w:bCs/>
          <w:sz w:val="28"/>
          <w:szCs w:val="28"/>
          <w:lang w:val="x-none"/>
        </w:rPr>
        <w:t>Территориальная зона П-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  <w:lang w:val="x-none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Зона производственно-коммунальных объектов 5 класса вредности</w:t>
      </w:r>
      <w:r>
        <w:rPr>
          <w:rFonts w:ascii="Times New Roman" w:hAnsi="Times New Roman"/>
          <w:sz w:val="28"/>
          <w:szCs w:val="28"/>
        </w:rPr>
        <w:t>» части 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«Градостроительные регламенты» Правил видом «Хранение и переработка сельскохозяйственной продукции», код вида 1.15.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91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94"/>
        <w:gridCol w:w="4794"/>
        <w:gridCol w:w="4736"/>
      </w:tblGrid>
      <w:tr>
        <w:tc>
          <w:tcPr>
            <w:tcW w:w="4794" w:type="dxa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Белгородского района</w:t>
            </w:r>
          </w:p>
        </w:tc>
        <w:tc>
          <w:tcPr>
            <w:tcW w:w="4794" w:type="dxa"/>
            <w:vAlign w:val="bottom"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С.Л. Кононенко</w:t>
            </w:r>
          </w:p>
        </w:tc>
        <w:tc>
          <w:tcPr>
            <w:tcW w:w="4794" w:type="dxa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736" w:type="dxa"/>
            <w:vAlign w:val="bottom"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CFDC-ECB0-47A3-BE10-4CBD9A5A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5</cp:revision>
  <cp:lastPrinted>2023-04-06T08:50:00Z</cp:lastPrinted>
  <dcterms:created xsi:type="dcterms:W3CDTF">2024-06-10T07:20:00Z</dcterms:created>
  <dcterms:modified xsi:type="dcterms:W3CDTF">2024-06-10T09:50:00Z</dcterms:modified>
</cp:coreProperties>
</file>