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5515635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«06» сентября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     № 57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комитета имущественных и земельных отношений администрации Белгородского района, в соответствии со статьей 33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законом Белгородской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>
        <w:rPr>
          <w:rFonts w:ascii="Times New Roman" w:hAnsi="Times New Roman"/>
          <w:sz w:val="28"/>
          <w:szCs w:val="28"/>
        </w:rPr>
        <w:br/>
        <w:t xml:space="preserve">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</w:t>
      </w:r>
      <w:r>
        <w:rPr>
          <w:rFonts w:ascii="Times New Roman" w:hAnsi="Times New Roman"/>
          <w:sz w:val="28"/>
          <w:szCs w:val="28"/>
        </w:rPr>
        <w:br/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01.06.2023 № 149-ОД-Н).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«06» сентября 2023 г. №57</w:t>
      </w:r>
    </w:p>
    <w:bookmarkEnd w:id="0"/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комитета имущественных и земельных отношений администрации Белгородского района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01.06.2023 № 149-ОД-Н),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Дополнить п. 3 «Условно разрешённые виды разрешенного использования земельных участков, предельные размеры земельных участков </w:t>
      </w:r>
    </w:p>
    <w:p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предельные параметры разрешенного строительства, реконструкции»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статьи 52 «Территориальная зона ОКО – Зона общественного использования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  <w:t>и коммунального обслуживания» части III «Градостроительные регламенты» Правил видом «Растениеводство» код вида 1.1.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>
        <w:tc>
          <w:tcPr>
            <w:tcW w:w="4849" w:type="dxa"/>
            <w:vAlign w:val="center"/>
            <w:hideMark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0" w:type="dxa"/>
            <w:vAlign w:val="bottom"/>
            <w:hideMark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AA25-D061-4137-9A8D-4BBAF0FE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33</cp:revision>
  <cp:lastPrinted>2023-09-06T11:14:00Z</cp:lastPrinted>
  <dcterms:created xsi:type="dcterms:W3CDTF">2023-03-17T11:14:00Z</dcterms:created>
  <dcterms:modified xsi:type="dcterms:W3CDTF">2023-09-06T11:28:00Z</dcterms:modified>
</cp:coreProperties>
</file>